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rPr>
          <w:rFonts w:ascii="Times New Roman" w:hAnsi="Times New Roman" w:cs="Times New Roman"/>
          <w:sz w:val="24"/>
          <w:szCs w:val="24"/>
          <w:shd w:val="clear" w:color="auto" w:fill="FFFFFF"/>
        </w:rPr>
      </w:pPr>
    </w:p>
    <w:p w:rsidR="00EA3DAF" w:rsidRPr="00EA3DAF" w:rsidRDefault="00EA3DAF" w:rsidP="00EA3DAF">
      <w:pPr>
        <w:spacing w:line="480" w:lineRule="auto"/>
        <w:jc w:val="center"/>
        <w:rPr>
          <w:rFonts w:ascii="Times New Roman" w:hAnsi="Times New Roman" w:cs="Times New Roman"/>
          <w:sz w:val="24"/>
          <w:szCs w:val="24"/>
        </w:rPr>
      </w:pPr>
      <w:r w:rsidRPr="00EA3DAF">
        <w:rPr>
          <w:rFonts w:ascii="Times New Roman" w:hAnsi="Times New Roman" w:cs="Times New Roman"/>
          <w:sz w:val="24"/>
          <w:szCs w:val="24"/>
        </w:rPr>
        <w:t>Sarbanes-Oxley Act</w:t>
      </w:r>
    </w:p>
    <w:p w:rsidR="00EA3DAF" w:rsidRPr="00EA3DAF" w:rsidRDefault="00EA3DAF" w:rsidP="00EA3DAF">
      <w:pPr>
        <w:spacing w:line="480" w:lineRule="auto"/>
        <w:jc w:val="center"/>
        <w:rPr>
          <w:rFonts w:ascii="Times New Roman" w:hAnsi="Times New Roman" w:cs="Times New Roman"/>
          <w:sz w:val="24"/>
          <w:szCs w:val="24"/>
        </w:rPr>
      </w:pPr>
      <w:r w:rsidRPr="00EA3DAF">
        <w:rPr>
          <w:rFonts w:ascii="Times New Roman" w:hAnsi="Times New Roman" w:cs="Times New Roman"/>
          <w:sz w:val="24"/>
          <w:szCs w:val="24"/>
        </w:rPr>
        <w:t>Name of Student</w:t>
      </w:r>
    </w:p>
    <w:p w:rsidR="00EA3DAF" w:rsidRPr="00EA3DAF" w:rsidRDefault="00EA3DAF" w:rsidP="00EA3DAF">
      <w:pPr>
        <w:spacing w:line="480" w:lineRule="auto"/>
        <w:jc w:val="center"/>
        <w:rPr>
          <w:rFonts w:ascii="Times New Roman" w:hAnsi="Times New Roman" w:cs="Times New Roman"/>
          <w:sz w:val="24"/>
          <w:szCs w:val="24"/>
        </w:rPr>
      </w:pPr>
      <w:r w:rsidRPr="00EA3DAF">
        <w:rPr>
          <w:rFonts w:ascii="Times New Roman" w:hAnsi="Times New Roman" w:cs="Times New Roman"/>
          <w:sz w:val="24"/>
          <w:szCs w:val="24"/>
        </w:rPr>
        <w:t>Name of Institution</w:t>
      </w:r>
    </w:p>
    <w:p w:rsidR="00EA3DAF" w:rsidRPr="00EA3DAF" w:rsidRDefault="00EA3DAF" w:rsidP="00EA3DAF">
      <w:pPr>
        <w:spacing w:line="480" w:lineRule="auto"/>
        <w:jc w:val="center"/>
        <w:rPr>
          <w:rFonts w:ascii="Times New Roman" w:hAnsi="Times New Roman" w:cs="Times New Roman"/>
          <w:sz w:val="24"/>
          <w:szCs w:val="24"/>
          <w:shd w:val="clear" w:color="auto" w:fill="FFFFFF"/>
        </w:rPr>
      </w:pPr>
      <w:r w:rsidRPr="00EA3DAF">
        <w:rPr>
          <w:rFonts w:ascii="Times New Roman" w:hAnsi="Times New Roman" w:cs="Times New Roman"/>
          <w:sz w:val="24"/>
          <w:szCs w:val="24"/>
        </w:rPr>
        <w:t>Date</w:t>
      </w:r>
      <w:r w:rsidRPr="00EA3DAF">
        <w:rPr>
          <w:rFonts w:ascii="Times New Roman" w:hAnsi="Times New Roman" w:cs="Times New Roman"/>
          <w:sz w:val="24"/>
          <w:szCs w:val="24"/>
          <w:shd w:val="clear" w:color="auto" w:fill="FFFFFF"/>
        </w:rPr>
        <w:t xml:space="preserve"> </w:t>
      </w:r>
      <w:r w:rsidRPr="00EA3DAF">
        <w:rPr>
          <w:rFonts w:ascii="Times New Roman" w:hAnsi="Times New Roman" w:cs="Times New Roman"/>
          <w:sz w:val="24"/>
          <w:szCs w:val="24"/>
          <w:shd w:val="clear" w:color="auto" w:fill="FFFFFF"/>
        </w:rPr>
        <w:br w:type="page"/>
      </w:r>
    </w:p>
    <w:p w:rsidR="00000000" w:rsidRPr="00EA3DAF" w:rsidRDefault="00277C47" w:rsidP="00EA3DAF">
      <w:pPr>
        <w:spacing w:line="480" w:lineRule="auto"/>
        <w:rPr>
          <w:rFonts w:ascii="Times New Roman" w:hAnsi="Times New Roman" w:cs="Times New Roman"/>
          <w:b/>
          <w:sz w:val="24"/>
          <w:szCs w:val="24"/>
        </w:rPr>
      </w:pPr>
      <w:r w:rsidRPr="00EA3DAF">
        <w:rPr>
          <w:rFonts w:ascii="Times New Roman" w:hAnsi="Times New Roman" w:cs="Times New Roman"/>
          <w:b/>
          <w:sz w:val="24"/>
          <w:szCs w:val="24"/>
          <w:shd w:val="clear" w:color="auto" w:fill="FFFFFF"/>
        </w:rPr>
        <w:lastRenderedPageBreak/>
        <w:t>What is the Sarbanes-Oxley Act, and what are some of the elements of this Act that were designed to protect the integrity of the financial statements prepared and disseminated by publicly traded companies?</w:t>
      </w:r>
    </w:p>
    <w:p w:rsidR="00B63ACD" w:rsidRPr="00EA3DAF" w:rsidRDefault="00A86CD0" w:rsidP="00EA3DAF">
      <w:pPr>
        <w:spacing w:line="480" w:lineRule="auto"/>
        <w:ind w:firstLine="720"/>
        <w:rPr>
          <w:rFonts w:ascii="Times New Roman" w:hAnsi="Times New Roman" w:cs="Times New Roman"/>
          <w:sz w:val="24"/>
          <w:szCs w:val="24"/>
        </w:rPr>
      </w:pPr>
      <w:r w:rsidRPr="00EA3DAF">
        <w:rPr>
          <w:rFonts w:ascii="Times New Roman" w:hAnsi="Times New Roman" w:cs="Times New Roman"/>
          <w:sz w:val="24"/>
          <w:szCs w:val="24"/>
        </w:rPr>
        <w:t xml:space="preserve">The Sarbanes-Oxley Act of 2002, also known as the Corporate Responsibility Act of 2002, is a federal law in the United States whose purpose was to expand and set new reforms on the regulations governing businesses and address tougher and </w:t>
      </w:r>
      <w:r w:rsidR="00B63ACD" w:rsidRPr="00EA3DAF">
        <w:rPr>
          <w:rFonts w:ascii="Times New Roman" w:hAnsi="Times New Roman" w:cs="Times New Roman"/>
          <w:sz w:val="24"/>
          <w:szCs w:val="24"/>
        </w:rPr>
        <w:t xml:space="preserve">more severe </w:t>
      </w:r>
      <w:r w:rsidRPr="00EA3DAF">
        <w:rPr>
          <w:rFonts w:ascii="Times New Roman" w:hAnsi="Times New Roman" w:cs="Times New Roman"/>
          <w:sz w:val="24"/>
          <w:szCs w:val="24"/>
        </w:rPr>
        <w:t>punishment for lawbreakers.  The requirements addressed in the SOX Act were directed for all United States public companies managements and boards, and public accounting firms. Other directives inclusive of willful destruction of evidence with the purpose of impeding or derailing federal investigation apply even to privately held corporations. The SOX Act was enacted o the 30</w:t>
      </w:r>
      <w:r w:rsidRPr="00EA3DAF">
        <w:rPr>
          <w:rFonts w:ascii="Times New Roman" w:hAnsi="Times New Roman" w:cs="Times New Roman"/>
          <w:sz w:val="24"/>
          <w:szCs w:val="24"/>
          <w:vertAlign w:val="superscript"/>
        </w:rPr>
        <w:t>th</w:t>
      </w:r>
      <w:r w:rsidRPr="00EA3DAF">
        <w:rPr>
          <w:rFonts w:ascii="Times New Roman" w:hAnsi="Times New Roman" w:cs="Times New Roman"/>
          <w:sz w:val="24"/>
          <w:szCs w:val="24"/>
        </w:rPr>
        <w:t xml:space="preserve"> of July in 2002 as a response to highly publicized accounting and corporate scandals, such as WorldCom</w:t>
      </w:r>
      <w:r w:rsidR="00B63ACD" w:rsidRPr="00EA3DAF">
        <w:rPr>
          <w:rFonts w:ascii="Times New Roman" w:hAnsi="Times New Roman" w:cs="Times New Roman"/>
          <w:sz w:val="24"/>
          <w:szCs w:val="24"/>
        </w:rPr>
        <w:t>, Tyco</w:t>
      </w:r>
      <w:r w:rsidRPr="00EA3DAF">
        <w:rPr>
          <w:rFonts w:ascii="Times New Roman" w:hAnsi="Times New Roman" w:cs="Times New Roman"/>
          <w:sz w:val="24"/>
          <w:szCs w:val="24"/>
        </w:rPr>
        <w:t xml:space="preserve"> and Enron. </w:t>
      </w:r>
      <w:r w:rsidR="00B63ACD" w:rsidRPr="00EA3DAF">
        <w:rPr>
          <w:rFonts w:ascii="Times New Roman" w:hAnsi="Times New Roman" w:cs="Times New Roman"/>
          <w:sz w:val="24"/>
          <w:szCs w:val="24"/>
        </w:rPr>
        <w:t xml:space="preserve">The scandals mentioned and many more resulted in a lack of confidence in the United States security markets and were the root cause that led to losses for investors in billions. When signing the Bill into law, President George W. Bush stated that </w:t>
      </w:r>
      <w:r w:rsidR="00B63ACD" w:rsidRPr="00EA3DAF">
        <w:rPr>
          <w:rFonts w:ascii="Times New Roman" w:hAnsi="Times New Roman" w:cs="Times New Roman"/>
          <w:sz w:val="24"/>
          <w:szCs w:val="24"/>
          <w:shd w:val="clear" w:color="auto" w:fill="FFFFFF"/>
        </w:rPr>
        <w:t>it included "the most far-reaching reforms of American business practices since the time of </w:t>
      </w:r>
      <w:r w:rsidR="00B63ACD" w:rsidRPr="00EA3DAF">
        <w:rPr>
          <w:rFonts w:ascii="Times New Roman" w:hAnsi="Times New Roman" w:cs="Times New Roman"/>
          <w:sz w:val="24"/>
          <w:szCs w:val="24"/>
        </w:rPr>
        <w:t>Franklin D. Roosevelt</w:t>
      </w:r>
      <w:r w:rsidR="00B63ACD" w:rsidRPr="00EA3DAF">
        <w:rPr>
          <w:rFonts w:ascii="Times New Roman" w:hAnsi="Times New Roman" w:cs="Times New Roman"/>
          <w:sz w:val="24"/>
          <w:szCs w:val="24"/>
          <w:shd w:val="clear" w:color="auto" w:fill="FFFFFF"/>
        </w:rPr>
        <w:t xml:space="preserve">. The era of low standards and false profit is over; no boardroom in America is above or beyond the law </w:t>
      </w:r>
      <w:sdt>
        <w:sdtPr>
          <w:rPr>
            <w:rFonts w:ascii="Times New Roman" w:hAnsi="Times New Roman" w:cs="Times New Roman"/>
            <w:sz w:val="24"/>
            <w:szCs w:val="24"/>
            <w:shd w:val="clear" w:color="auto" w:fill="FFFFFF"/>
          </w:rPr>
          <w:id w:val="24390813"/>
          <w:citation/>
        </w:sdtPr>
        <w:sdtContent>
          <w:r w:rsidR="00B63ACD" w:rsidRPr="00EA3DAF">
            <w:rPr>
              <w:rFonts w:ascii="Times New Roman" w:hAnsi="Times New Roman" w:cs="Times New Roman"/>
              <w:sz w:val="24"/>
              <w:szCs w:val="24"/>
              <w:shd w:val="clear" w:color="auto" w:fill="FFFFFF"/>
            </w:rPr>
            <w:fldChar w:fldCharType="begin"/>
          </w:r>
          <w:r w:rsidR="00B63ACD" w:rsidRPr="00EA3DAF">
            <w:rPr>
              <w:rFonts w:ascii="Times New Roman" w:hAnsi="Times New Roman" w:cs="Times New Roman"/>
              <w:sz w:val="24"/>
              <w:szCs w:val="24"/>
              <w:shd w:val="clear" w:color="auto" w:fill="FFFFFF"/>
            </w:rPr>
            <w:instrText xml:space="preserve"> CITATION Sar02 \l 1033 </w:instrText>
          </w:r>
          <w:r w:rsidR="00B63ACD" w:rsidRPr="00EA3DAF">
            <w:rPr>
              <w:rFonts w:ascii="Times New Roman" w:hAnsi="Times New Roman" w:cs="Times New Roman"/>
              <w:sz w:val="24"/>
              <w:szCs w:val="24"/>
              <w:shd w:val="clear" w:color="auto" w:fill="FFFFFF"/>
            </w:rPr>
            <w:fldChar w:fldCharType="separate"/>
          </w:r>
          <w:r w:rsidR="00B63ACD" w:rsidRPr="00EA3DAF">
            <w:rPr>
              <w:rFonts w:ascii="Times New Roman" w:hAnsi="Times New Roman" w:cs="Times New Roman"/>
              <w:noProof/>
              <w:sz w:val="24"/>
              <w:szCs w:val="24"/>
              <w:shd w:val="clear" w:color="auto" w:fill="FFFFFF"/>
            </w:rPr>
            <w:t>(Sarbanes-Oxley, 2002)</w:t>
          </w:r>
          <w:r w:rsidR="00B63ACD" w:rsidRPr="00EA3DAF">
            <w:rPr>
              <w:rFonts w:ascii="Times New Roman" w:hAnsi="Times New Roman" w:cs="Times New Roman"/>
              <w:sz w:val="24"/>
              <w:szCs w:val="24"/>
              <w:shd w:val="clear" w:color="auto" w:fill="FFFFFF"/>
            </w:rPr>
            <w:fldChar w:fldCharType="end"/>
          </w:r>
        </w:sdtContent>
      </w:sdt>
      <w:r w:rsidR="00B63ACD" w:rsidRPr="00EA3DAF">
        <w:rPr>
          <w:rFonts w:ascii="Times New Roman" w:hAnsi="Times New Roman" w:cs="Times New Roman"/>
          <w:sz w:val="24"/>
          <w:szCs w:val="24"/>
          <w:shd w:val="clear" w:color="auto" w:fill="FFFFFF"/>
        </w:rPr>
        <w:t>.</w:t>
      </w:r>
      <w:r w:rsidR="00B63ACD" w:rsidRPr="00EA3DAF">
        <w:rPr>
          <w:rFonts w:ascii="Times New Roman" w:hAnsi="Times New Roman" w:cs="Times New Roman"/>
          <w:i/>
          <w:iCs/>
          <w:sz w:val="24"/>
          <w:szCs w:val="24"/>
          <w:shd w:val="clear" w:color="auto" w:fill="FFFFFF"/>
        </w:rPr>
        <w:t>"</w:t>
      </w:r>
      <w:r w:rsidR="00ED4BD3" w:rsidRPr="00EA3DAF">
        <w:rPr>
          <w:rFonts w:ascii="Times New Roman" w:hAnsi="Times New Roman" w:cs="Times New Roman"/>
          <w:i/>
          <w:iCs/>
          <w:sz w:val="24"/>
          <w:szCs w:val="24"/>
          <w:shd w:val="clear" w:color="auto" w:fill="FFFFFF"/>
        </w:rPr>
        <w:t xml:space="preserve"> </w:t>
      </w:r>
      <w:r w:rsidR="00B63ACD" w:rsidRPr="00EA3DAF">
        <w:rPr>
          <w:rFonts w:ascii="Times New Roman" w:hAnsi="Times New Roman" w:cs="Times New Roman"/>
          <w:sz w:val="24"/>
          <w:szCs w:val="24"/>
        </w:rPr>
        <w:t xml:space="preserve">The name of the Act was chosen </w:t>
      </w:r>
      <w:r w:rsidR="00ED4BD3" w:rsidRPr="00EA3DAF">
        <w:rPr>
          <w:rFonts w:ascii="Times New Roman" w:hAnsi="Times New Roman" w:cs="Times New Roman"/>
          <w:sz w:val="24"/>
          <w:szCs w:val="24"/>
        </w:rPr>
        <w:t xml:space="preserve">two of its sponsors; Senator Paul S. Sarbanes and Representative Michael G. Oxley. </w:t>
      </w:r>
    </w:p>
    <w:p w:rsidR="001C051B" w:rsidRPr="00EA3DAF" w:rsidRDefault="00ED4BD3" w:rsidP="00EA3DAF">
      <w:pPr>
        <w:spacing w:line="480" w:lineRule="auto"/>
        <w:ind w:firstLine="720"/>
        <w:rPr>
          <w:rFonts w:ascii="Times New Roman" w:hAnsi="Times New Roman" w:cs="Times New Roman"/>
          <w:sz w:val="24"/>
          <w:szCs w:val="24"/>
        </w:rPr>
      </w:pPr>
      <w:r w:rsidRPr="00EA3DAF">
        <w:rPr>
          <w:rFonts w:ascii="Times New Roman" w:hAnsi="Times New Roman" w:cs="Times New Roman"/>
          <w:sz w:val="24"/>
          <w:szCs w:val="24"/>
        </w:rPr>
        <w:t xml:space="preserve">The policies contained within the SOX Act were intended to serve as amendments or supplementary of the rules and regulations that dealt with security regulation. The existing laws targeted include those enforced by the Security and Exchange Commission and the Security Exchange Act of 1934. These stricter rules enforced targeted corporate officers, auditors, and accountants. SOX Act also imposed more stringent recordkeeping requirements. The reforms </w:t>
      </w:r>
      <w:r w:rsidRPr="00EA3DAF">
        <w:rPr>
          <w:rFonts w:ascii="Times New Roman" w:hAnsi="Times New Roman" w:cs="Times New Roman"/>
          <w:sz w:val="24"/>
          <w:szCs w:val="24"/>
        </w:rPr>
        <w:lastRenderedPageBreak/>
        <w:t xml:space="preserve">and additions within the Act </w:t>
      </w:r>
      <w:r w:rsidR="001C051B" w:rsidRPr="00EA3DAF">
        <w:rPr>
          <w:rFonts w:ascii="Times New Roman" w:hAnsi="Times New Roman" w:cs="Times New Roman"/>
          <w:sz w:val="24"/>
          <w:szCs w:val="24"/>
        </w:rPr>
        <w:t>have</w:t>
      </w:r>
      <w:r w:rsidRPr="00EA3DAF">
        <w:rPr>
          <w:rFonts w:ascii="Times New Roman" w:hAnsi="Times New Roman" w:cs="Times New Roman"/>
          <w:sz w:val="24"/>
          <w:szCs w:val="24"/>
        </w:rPr>
        <w:t xml:space="preserve"> four principle directives for the law; provision of new protections, accounting regulations, increased criminal punishment, and corporate responsibility. </w:t>
      </w:r>
      <w:r w:rsidR="001C051B" w:rsidRPr="00EA3DAF">
        <w:rPr>
          <w:rFonts w:ascii="Times New Roman" w:hAnsi="Times New Roman" w:cs="Times New Roman"/>
          <w:sz w:val="24"/>
          <w:szCs w:val="24"/>
        </w:rPr>
        <w:t>The act is responsible for enhanced transparency for firm which is analyzed on the basis of the accuracy and dispersion of analyst earnings forecast</w:t>
      </w:r>
      <w:r w:rsidR="00EA3DAF" w:rsidRPr="00EA3DAF">
        <w:rPr>
          <w:rFonts w:ascii="Times New Roman" w:hAnsi="Times New Roman" w:cs="Times New Roman"/>
          <w:sz w:val="24"/>
          <w:szCs w:val="24"/>
        </w:rPr>
        <w:t xml:space="preserve"> </w:t>
      </w:r>
      <w:sdt>
        <w:sdtPr>
          <w:rPr>
            <w:rFonts w:ascii="Times New Roman" w:hAnsi="Times New Roman" w:cs="Times New Roman"/>
            <w:sz w:val="24"/>
            <w:szCs w:val="24"/>
          </w:rPr>
          <w:id w:val="24390815"/>
          <w:citation/>
        </w:sdtPr>
        <w:sdtContent>
          <w:r w:rsidR="00EA3DAF" w:rsidRPr="00EA3DAF">
            <w:rPr>
              <w:rFonts w:ascii="Times New Roman" w:hAnsi="Times New Roman" w:cs="Times New Roman"/>
              <w:sz w:val="24"/>
              <w:szCs w:val="24"/>
            </w:rPr>
            <w:fldChar w:fldCharType="begin"/>
          </w:r>
          <w:r w:rsidR="00EA3DAF" w:rsidRPr="00EA3DAF">
            <w:rPr>
              <w:rFonts w:ascii="Times New Roman" w:hAnsi="Times New Roman" w:cs="Times New Roman"/>
              <w:sz w:val="24"/>
              <w:szCs w:val="24"/>
            </w:rPr>
            <w:instrText xml:space="preserve"> CITATION DeF11 \l 1033 </w:instrText>
          </w:r>
          <w:r w:rsidR="00EA3DAF" w:rsidRPr="00EA3DAF">
            <w:rPr>
              <w:rFonts w:ascii="Times New Roman" w:hAnsi="Times New Roman" w:cs="Times New Roman"/>
              <w:sz w:val="24"/>
              <w:szCs w:val="24"/>
            </w:rPr>
            <w:fldChar w:fldCharType="separate"/>
          </w:r>
          <w:r w:rsidR="00EA3DAF" w:rsidRPr="00EA3DAF">
            <w:rPr>
              <w:rFonts w:ascii="Times New Roman" w:hAnsi="Times New Roman" w:cs="Times New Roman"/>
              <w:noProof/>
              <w:sz w:val="24"/>
              <w:szCs w:val="24"/>
            </w:rPr>
            <w:t>(DeFond, Hung, Carr, &amp; Zhang, 2011)</w:t>
          </w:r>
          <w:r w:rsidR="00EA3DAF" w:rsidRPr="00EA3DAF">
            <w:rPr>
              <w:rFonts w:ascii="Times New Roman" w:hAnsi="Times New Roman" w:cs="Times New Roman"/>
              <w:sz w:val="24"/>
              <w:szCs w:val="24"/>
            </w:rPr>
            <w:fldChar w:fldCharType="end"/>
          </w:r>
        </w:sdtContent>
      </w:sdt>
      <w:r w:rsidR="001C051B" w:rsidRPr="00EA3DAF">
        <w:rPr>
          <w:rFonts w:ascii="Times New Roman" w:hAnsi="Times New Roman" w:cs="Times New Roman"/>
          <w:sz w:val="24"/>
          <w:szCs w:val="24"/>
        </w:rPr>
        <w:t>. Stock valuations provided a tactic for firms to hide and amass debts which was si</w:t>
      </w:r>
      <w:r w:rsidR="00EA3DAF" w:rsidRPr="00EA3DAF">
        <w:rPr>
          <w:rFonts w:ascii="Times New Roman" w:hAnsi="Times New Roman" w:cs="Times New Roman"/>
          <w:sz w:val="24"/>
          <w:szCs w:val="24"/>
        </w:rPr>
        <w:t>gnificantly reduced post the SOX</w:t>
      </w:r>
      <w:r w:rsidR="001C051B" w:rsidRPr="00EA3DAF">
        <w:rPr>
          <w:rFonts w:ascii="Times New Roman" w:hAnsi="Times New Roman" w:cs="Times New Roman"/>
          <w:sz w:val="24"/>
          <w:szCs w:val="24"/>
        </w:rPr>
        <w:t xml:space="preserve"> Act and also promoted conservative reported earnings. However, the act is also responsible for the displacement of significant businesses to London from New York, where the latter has less stringent regulations for the financial sector through the Financial Conduct Authority</w:t>
      </w:r>
      <w:r w:rsidR="00EA3DAF" w:rsidRPr="00EA3DAF">
        <w:rPr>
          <w:rFonts w:ascii="Times New Roman" w:hAnsi="Times New Roman" w:cs="Times New Roman"/>
          <w:sz w:val="24"/>
          <w:szCs w:val="24"/>
        </w:rPr>
        <w:t xml:space="preserve"> </w:t>
      </w:r>
      <w:sdt>
        <w:sdtPr>
          <w:rPr>
            <w:rFonts w:ascii="Times New Roman" w:hAnsi="Times New Roman" w:cs="Times New Roman"/>
            <w:sz w:val="24"/>
            <w:szCs w:val="24"/>
          </w:rPr>
          <w:id w:val="24390816"/>
          <w:citation/>
        </w:sdtPr>
        <w:sdtContent>
          <w:r w:rsidR="00EA3DAF" w:rsidRPr="00EA3DAF">
            <w:rPr>
              <w:rFonts w:ascii="Times New Roman" w:hAnsi="Times New Roman" w:cs="Times New Roman"/>
              <w:sz w:val="24"/>
              <w:szCs w:val="24"/>
            </w:rPr>
            <w:fldChar w:fldCharType="begin"/>
          </w:r>
          <w:r w:rsidR="00EA3DAF" w:rsidRPr="00EA3DAF">
            <w:rPr>
              <w:rFonts w:ascii="Times New Roman" w:hAnsi="Times New Roman" w:cs="Times New Roman"/>
              <w:sz w:val="24"/>
              <w:szCs w:val="24"/>
            </w:rPr>
            <w:instrText xml:space="preserve"> CITATION Hos13 \l 1033 </w:instrText>
          </w:r>
          <w:r w:rsidR="00EA3DAF" w:rsidRPr="00EA3DAF">
            <w:rPr>
              <w:rFonts w:ascii="Times New Roman" w:hAnsi="Times New Roman" w:cs="Times New Roman"/>
              <w:sz w:val="24"/>
              <w:szCs w:val="24"/>
            </w:rPr>
            <w:fldChar w:fldCharType="separate"/>
          </w:r>
          <w:r w:rsidR="00EA3DAF" w:rsidRPr="00EA3DAF">
            <w:rPr>
              <w:rFonts w:ascii="Times New Roman" w:hAnsi="Times New Roman" w:cs="Times New Roman"/>
              <w:noProof/>
              <w:sz w:val="24"/>
              <w:szCs w:val="24"/>
            </w:rPr>
            <w:t>(Hostak, Lys, Yang, &amp; Carr, 2013)</w:t>
          </w:r>
          <w:r w:rsidR="00EA3DAF" w:rsidRPr="00EA3DAF">
            <w:rPr>
              <w:rFonts w:ascii="Times New Roman" w:hAnsi="Times New Roman" w:cs="Times New Roman"/>
              <w:sz w:val="24"/>
              <w:szCs w:val="24"/>
            </w:rPr>
            <w:fldChar w:fldCharType="end"/>
          </w:r>
        </w:sdtContent>
      </w:sdt>
      <w:r w:rsidR="001C051B" w:rsidRPr="00EA3DAF">
        <w:rPr>
          <w:rFonts w:ascii="Times New Roman" w:hAnsi="Times New Roman" w:cs="Times New Roman"/>
          <w:sz w:val="24"/>
          <w:szCs w:val="24"/>
        </w:rPr>
        <w:t xml:space="preserve">. </w:t>
      </w:r>
    </w:p>
    <w:p w:rsidR="00EA3DAF" w:rsidRPr="00EA3DAF" w:rsidRDefault="001C051B" w:rsidP="00EA3DAF">
      <w:pPr>
        <w:spacing w:line="480" w:lineRule="auto"/>
        <w:ind w:firstLine="720"/>
        <w:rPr>
          <w:rFonts w:ascii="Times New Roman" w:hAnsi="Times New Roman" w:cs="Times New Roman"/>
          <w:sz w:val="24"/>
          <w:szCs w:val="24"/>
        </w:rPr>
      </w:pPr>
      <w:r w:rsidRPr="00EA3DAF">
        <w:rPr>
          <w:rFonts w:ascii="Times New Roman" w:hAnsi="Times New Roman" w:cs="Times New Roman"/>
          <w:sz w:val="24"/>
          <w:szCs w:val="24"/>
        </w:rPr>
        <w:t xml:space="preserve">The Act insists on keeping corporations from unethical practices but overlooks the increment in expenses for corporations mostly regarding internal control systems. The financial statements relevant for this assessment include </w:t>
      </w:r>
      <w:r w:rsidR="009333B6" w:rsidRPr="00EA3DAF">
        <w:rPr>
          <w:rFonts w:ascii="Times New Roman" w:hAnsi="Times New Roman" w:cs="Times New Roman"/>
          <w:sz w:val="24"/>
          <w:szCs w:val="24"/>
        </w:rPr>
        <w:t xml:space="preserve">cash flows, condition, and financial results. Of the numerous provisions, the Act is rooted in sex critical ones. The CEO and CFO of organizations are required to provide certification of the corporation’s financial statements. All personnel within are restricted from any form of influence over the manner in which audits are conducted. The act requires CEOs to disclose the liabilities and assets that are not represented in the balance sheets. Substantial fines are imposed on owners and executives of corporations that steal, destroy or falsify records </w:t>
      </w:r>
      <w:sdt>
        <w:sdtPr>
          <w:rPr>
            <w:rFonts w:ascii="Times New Roman" w:hAnsi="Times New Roman" w:cs="Times New Roman"/>
            <w:sz w:val="24"/>
            <w:szCs w:val="24"/>
          </w:rPr>
          <w:id w:val="24390814"/>
          <w:citation/>
        </w:sdtPr>
        <w:sdtContent>
          <w:r w:rsidR="009333B6" w:rsidRPr="00EA3DAF">
            <w:rPr>
              <w:rFonts w:ascii="Times New Roman" w:hAnsi="Times New Roman" w:cs="Times New Roman"/>
              <w:sz w:val="24"/>
              <w:szCs w:val="24"/>
            </w:rPr>
            <w:fldChar w:fldCharType="begin"/>
          </w:r>
          <w:r w:rsidR="009333B6" w:rsidRPr="00EA3DAF">
            <w:rPr>
              <w:rFonts w:ascii="Times New Roman" w:hAnsi="Times New Roman" w:cs="Times New Roman"/>
              <w:sz w:val="24"/>
              <w:szCs w:val="24"/>
            </w:rPr>
            <w:instrText xml:space="preserve"> CITATION Ken19 \l 1033 </w:instrText>
          </w:r>
          <w:r w:rsidR="009333B6" w:rsidRPr="00EA3DAF">
            <w:rPr>
              <w:rFonts w:ascii="Times New Roman" w:hAnsi="Times New Roman" w:cs="Times New Roman"/>
              <w:sz w:val="24"/>
              <w:szCs w:val="24"/>
            </w:rPr>
            <w:fldChar w:fldCharType="separate"/>
          </w:r>
          <w:r w:rsidR="009333B6" w:rsidRPr="00EA3DAF">
            <w:rPr>
              <w:rFonts w:ascii="Times New Roman" w:hAnsi="Times New Roman" w:cs="Times New Roman"/>
              <w:noProof/>
              <w:sz w:val="24"/>
              <w:szCs w:val="24"/>
            </w:rPr>
            <w:t>(Kenton, 2019)</w:t>
          </w:r>
          <w:r w:rsidR="009333B6" w:rsidRPr="00EA3DAF">
            <w:rPr>
              <w:rFonts w:ascii="Times New Roman" w:hAnsi="Times New Roman" w:cs="Times New Roman"/>
              <w:sz w:val="24"/>
              <w:szCs w:val="24"/>
            </w:rPr>
            <w:fldChar w:fldCharType="end"/>
          </w:r>
        </w:sdtContent>
      </w:sdt>
      <w:r w:rsidR="009333B6" w:rsidRPr="00EA3DAF">
        <w:rPr>
          <w:rFonts w:ascii="Times New Roman" w:hAnsi="Times New Roman" w:cs="Times New Roman"/>
          <w:sz w:val="24"/>
          <w:szCs w:val="24"/>
        </w:rPr>
        <w:t xml:space="preserve">. The act also provides protection for whistleblowers that expose any illegal activity from retaliation. The auditors must certify the reliability of the established internal controls, in addition to the reports on accuracy and scope of the same. </w:t>
      </w:r>
    </w:p>
    <w:p w:rsidR="00EA3DAF" w:rsidRPr="00EA3DAF" w:rsidRDefault="00EA3DAF" w:rsidP="00EA3DAF">
      <w:pPr>
        <w:spacing w:line="480" w:lineRule="auto"/>
        <w:rPr>
          <w:rFonts w:ascii="Times New Roman" w:hAnsi="Times New Roman" w:cs="Times New Roman"/>
          <w:sz w:val="24"/>
          <w:szCs w:val="24"/>
        </w:rPr>
      </w:pPr>
      <w:r w:rsidRPr="00EA3DAF">
        <w:rPr>
          <w:rFonts w:ascii="Times New Roman" w:hAnsi="Times New Roman" w:cs="Times New Roman"/>
          <w:sz w:val="24"/>
          <w:szCs w:val="24"/>
        </w:rPr>
        <w:br w:type="page"/>
      </w:r>
    </w:p>
    <w:sdt>
      <w:sdtPr>
        <w:rPr>
          <w:rFonts w:ascii="Times New Roman" w:hAnsi="Times New Roman" w:cs="Times New Roman"/>
          <w:color w:val="auto"/>
          <w:sz w:val="24"/>
          <w:szCs w:val="24"/>
        </w:rPr>
        <w:id w:val="24390817"/>
        <w:docPartObj>
          <w:docPartGallery w:val="Bibliographies"/>
          <w:docPartUnique/>
        </w:docPartObj>
      </w:sdtPr>
      <w:sdtEndPr>
        <w:rPr>
          <w:rFonts w:eastAsiaTheme="minorEastAsia"/>
          <w:b w:val="0"/>
          <w:bCs w:val="0"/>
          <w:lang w:bidi="ar-SA"/>
        </w:rPr>
      </w:sdtEndPr>
      <w:sdtContent>
        <w:p w:rsidR="00EA3DAF" w:rsidRPr="00EA3DAF" w:rsidRDefault="00EA3DAF" w:rsidP="00EA3DAF">
          <w:pPr>
            <w:pStyle w:val="Heading1"/>
            <w:spacing w:line="480" w:lineRule="auto"/>
            <w:jc w:val="center"/>
            <w:rPr>
              <w:rFonts w:ascii="Times New Roman" w:hAnsi="Times New Roman" w:cs="Times New Roman"/>
              <w:color w:val="auto"/>
              <w:sz w:val="24"/>
              <w:szCs w:val="24"/>
            </w:rPr>
          </w:pPr>
          <w:r w:rsidRPr="00EA3DA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A3DAF" w:rsidRPr="00EA3DAF" w:rsidRDefault="00EA3DAF" w:rsidP="00EA3DAF">
              <w:pPr>
                <w:pStyle w:val="Bibliography"/>
                <w:spacing w:line="480" w:lineRule="auto"/>
                <w:ind w:left="720" w:hanging="720"/>
                <w:rPr>
                  <w:rFonts w:ascii="Times New Roman" w:hAnsi="Times New Roman" w:cs="Times New Roman"/>
                  <w:noProof/>
                  <w:sz w:val="24"/>
                  <w:szCs w:val="24"/>
                </w:rPr>
              </w:pPr>
              <w:r w:rsidRPr="00EA3DAF">
                <w:rPr>
                  <w:rFonts w:ascii="Times New Roman" w:hAnsi="Times New Roman" w:cs="Times New Roman"/>
                  <w:sz w:val="24"/>
                  <w:szCs w:val="24"/>
                </w:rPr>
                <w:fldChar w:fldCharType="begin"/>
              </w:r>
              <w:r w:rsidRPr="00EA3DAF">
                <w:rPr>
                  <w:rFonts w:ascii="Times New Roman" w:hAnsi="Times New Roman" w:cs="Times New Roman"/>
                  <w:sz w:val="24"/>
                  <w:szCs w:val="24"/>
                </w:rPr>
                <w:instrText xml:space="preserve"> BIBLIOGRAPHY </w:instrText>
              </w:r>
              <w:r w:rsidRPr="00EA3DAF">
                <w:rPr>
                  <w:rFonts w:ascii="Times New Roman" w:hAnsi="Times New Roman" w:cs="Times New Roman"/>
                  <w:sz w:val="24"/>
                  <w:szCs w:val="24"/>
                </w:rPr>
                <w:fldChar w:fldCharType="separate"/>
              </w:r>
              <w:r w:rsidRPr="00EA3DAF">
                <w:rPr>
                  <w:rFonts w:ascii="Times New Roman" w:hAnsi="Times New Roman" w:cs="Times New Roman"/>
                  <w:noProof/>
                  <w:sz w:val="24"/>
                  <w:szCs w:val="24"/>
                </w:rPr>
                <w:t xml:space="preserve">Brandt, E., Ma, Y., &amp; Pope, N. (2013). </w:t>
              </w:r>
              <w:r w:rsidRPr="00EA3DAF">
                <w:rPr>
                  <w:rFonts w:ascii="Times New Roman" w:hAnsi="Times New Roman" w:cs="Times New Roman"/>
                  <w:i/>
                  <w:iCs/>
                  <w:noProof/>
                  <w:sz w:val="24"/>
                  <w:szCs w:val="24"/>
                </w:rPr>
                <w:t>The impact of Sarbanes-Oxley on property-casualty insurer loss reserve estimates. .</w:t>
              </w:r>
              <w:r w:rsidRPr="00EA3DAF">
                <w:rPr>
                  <w:rFonts w:ascii="Times New Roman" w:hAnsi="Times New Roman" w:cs="Times New Roman"/>
                  <w:noProof/>
                  <w:sz w:val="24"/>
                  <w:szCs w:val="24"/>
                </w:rPr>
                <w:t xml:space="preserve"> Illinois: Working Paper, Illinois State University.</w:t>
              </w:r>
            </w:p>
            <w:p w:rsidR="00EA3DAF" w:rsidRPr="00EA3DAF" w:rsidRDefault="00EA3DAF" w:rsidP="00EA3DAF">
              <w:pPr>
                <w:pStyle w:val="Bibliography"/>
                <w:spacing w:line="480" w:lineRule="auto"/>
                <w:ind w:left="720" w:hanging="720"/>
                <w:rPr>
                  <w:rFonts w:ascii="Times New Roman" w:hAnsi="Times New Roman" w:cs="Times New Roman"/>
                  <w:noProof/>
                  <w:sz w:val="24"/>
                  <w:szCs w:val="24"/>
                </w:rPr>
              </w:pPr>
              <w:r w:rsidRPr="00EA3DAF">
                <w:rPr>
                  <w:rFonts w:ascii="Times New Roman" w:hAnsi="Times New Roman" w:cs="Times New Roman"/>
                  <w:noProof/>
                  <w:sz w:val="24"/>
                  <w:szCs w:val="24"/>
                </w:rPr>
                <w:t xml:space="preserve">DeFond, M. L., Hung, M., Carr, E., &amp; Zhang, J. (2011). Was the Sarbanes-Oxley Act good news for corporate bondholders? </w:t>
              </w:r>
              <w:r w:rsidRPr="00EA3DAF">
                <w:rPr>
                  <w:rFonts w:ascii="Times New Roman" w:hAnsi="Times New Roman" w:cs="Times New Roman"/>
                  <w:i/>
                  <w:iCs/>
                  <w:noProof/>
                  <w:sz w:val="24"/>
                  <w:szCs w:val="24"/>
                </w:rPr>
                <w:t>Accounting Horizons</w:t>
              </w:r>
              <w:r w:rsidRPr="00EA3DAF">
                <w:rPr>
                  <w:rFonts w:ascii="Times New Roman" w:hAnsi="Times New Roman" w:cs="Times New Roman"/>
                  <w:noProof/>
                  <w:sz w:val="24"/>
                  <w:szCs w:val="24"/>
                </w:rPr>
                <w:t xml:space="preserve"> , 465-485.</w:t>
              </w:r>
            </w:p>
            <w:p w:rsidR="00EA3DAF" w:rsidRPr="00EA3DAF" w:rsidRDefault="00EA3DAF" w:rsidP="00EA3DAF">
              <w:pPr>
                <w:pStyle w:val="Bibliography"/>
                <w:spacing w:line="480" w:lineRule="auto"/>
                <w:ind w:left="720" w:hanging="720"/>
                <w:rPr>
                  <w:rFonts w:ascii="Times New Roman" w:hAnsi="Times New Roman" w:cs="Times New Roman"/>
                  <w:noProof/>
                  <w:sz w:val="24"/>
                  <w:szCs w:val="24"/>
                </w:rPr>
              </w:pPr>
              <w:r w:rsidRPr="00EA3DAF">
                <w:rPr>
                  <w:rFonts w:ascii="Times New Roman" w:hAnsi="Times New Roman" w:cs="Times New Roman"/>
                  <w:noProof/>
                  <w:sz w:val="24"/>
                  <w:szCs w:val="24"/>
                </w:rPr>
                <w:t xml:space="preserve">Hostak, P., Lys, T., Yang, Y. G., &amp; Carr, E. (2013). An examination of the impact of the Sarbanes–Oxley Act on the attractiveness of US capital markets for foreign firms. </w:t>
              </w:r>
              <w:r w:rsidRPr="00EA3DAF">
                <w:rPr>
                  <w:rFonts w:ascii="Times New Roman" w:hAnsi="Times New Roman" w:cs="Times New Roman"/>
                  <w:i/>
                  <w:iCs/>
                  <w:noProof/>
                  <w:sz w:val="24"/>
                  <w:szCs w:val="24"/>
                </w:rPr>
                <w:t>Review of Accounting Studies</w:t>
              </w:r>
              <w:r w:rsidRPr="00EA3DAF">
                <w:rPr>
                  <w:rFonts w:ascii="Times New Roman" w:hAnsi="Times New Roman" w:cs="Times New Roman"/>
                  <w:noProof/>
                  <w:sz w:val="24"/>
                  <w:szCs w:val="24"/>
                </w:rPr>
                <w:t xml:space="preserve"> </w:t>
              </w:r>
              <w:r w:rsidRPr="00EA3DAF">
                <w:rPr>
                  <w:rFonts w:ascii="Times New Roman" w:hAnsi="Times New Roman" w:cs="Times New Roman"/>
                  <w:i/>
                  <w:iCs/>
                  <w:noProof/>
                  <w:sz w:val="24"/>
                  <w:szCs w:val="24"/>
                </w:rPr>
                <w:t>, 18</w:t>
              </w:r>
              <w:r w:rsidRPr="00EA3DAF">
                <w:rPr>
                  <w:rFonts w:ascii="Times New Roman" w:hAnsi="Times New Roman" w:cs="Times New Roman"/>
                  <w:noProof/>
                  <w:sz w:val="24"/>
                  <w:szCs w:val="24"/>
                </w:rPr>
                <w:t xml:space="preserve"> (2), 522-559.</w:t>
              </w:r>
            </w:p>
            <w:p w:rsidR="00EA3DAF" w:rsidRPr="00EA3DAF" w:rsidRDefault="00EA3DAF" w:rsidP="00EA3DAF">
              <w:pPr>
                <w:pStyle w:val="Bibliography"/>
                <w:spacing w:line="480" w:lineRule="auto"/>
                <w:ind w:left="720" w:hanging="720"/>
                <w:rPr>
                  <w:rFonts w:ascii="Times New Roman" w:hAnsi="Times New Roman" w:cs="Times New Roman"/>
                  <w:noProof/>
                  <w:sz w:val="24"/>
                  <w:szCs w:val="24"/>
                </w:rPr>
              </w:pPr>
              <w:r w:rsidRPr="00EA3DAF">
                <w:rPr>
                  <w:rFonts w:ascii="Times New Roman" w:hAnsi="Times New Roman" w:cs="Times New Roman"/>
                  <w:noProof/>
                  <w:sz w:val="24"/>
                  <w:szCs w:val="24"/>
                </w:rPr>
                <w:t xml:space="preserve">Kenton, W. (2019, June 17). </w:t>
              </w:r>
              <w:r w:rsidRPr="00EA3DAF">
                <w:rPr>
                  <w:rFonts w:ascii="Times New Roman" w:hAnsi="Times New Roman" w:cs="Times New Roman"/>
                  <w:i/>
                  <w:iCs/>
                  <w:noProof/>
                  <w:sz w:val="24"/>
                  <w:szCs w:val="24"/>
                </w:rPr>
                <w:t>Sarbanes-Oxley (SOX) Act of 2002</w:t>
              </w:r>
              <w:r w:rsidRPr="00EA3DAF">
                <w:rPr>
                  <w:rFonts w:ascii="Times New Roman" w:hAnsi="Times New Roman" w:cs="Times New Roman"/>
                  <w:noProof/>
                  <w:sz w:val="24"/>
                  <w:szCs w:val="24"/>
                </w:rPr>
                <w:t>. Retrieved June 18, 2019, from Investopedia: https://www.investopedia.com/terms/s/sarbanesoxleyact.asp</w:t>
              </w:r>
            </w:p>
            <w:p w:rsidR="00EA3DAF" w:rsidRPr="00EA3DAF" w:rsidRDefault="00EA3DAF" w:rsidP="00EA3DAF">
              <w:pPr>
                <w:pStyle w:val="Bibliography"/>
                <w:spacing w:line="480" w:lineRule="auto"/>
                <w:ind w:left="720" w:hanging="720"/>
                <w:rPr>
                  <w:rFonts w:ascii="Times New Roman" w:hAnsi="Times New Roman" w:cs="Times New Roman"/>
                  <w:noProof/>
                  <w:sz w:val="24"/>
                  <w:szCs w:val="24"/>
                </w:rPr>
              </w:pPr>
              <w:r w:rsidRPr="00EA3DAF">
                <w:rPr>
                  <w:rFonts w:ascii="Times New Roman" w:hAnsi="Times New Roman" w:cs="Times New Roman"/>
                  <w:noProof/>
                  <w:sz w:val="24"/>
                  <w:szCs w:val="24"/>
                </w:rPr>
                <w:t xml:space="preserve">Sarbanes-Oxley, A. C. (2002). Sarbanes-Oxley Act. . </w:t>
              </w:r>
              <w:r w:rsidRPr="00EA3DAF">
                <w:rPr>
                  <w:rFonts w:ascii="Times New Roman" w:hAnsi="Times New Roman" w:cs="Times New Roman"/>
                  <w:i/>
                  <w:iCs/>
                  <w:noProof/>
                  <w:sz w:val="24"/>
                  <w:szCs w:val="24"/>
                </w:rPr>
                <w:t>In Washington, DC: One Hundred and Seventh Congress of the United States of America.</w:t>
              </w:r>
              <w:r w:rsidRPr="00EA3DAF">
                <w:rPr>
                  <w:rFonts w:ascii="Times New Roman" w:hAnsi="Times New Roman" w:cs="Times New Roman"/>
                  <w:noProof/>
                  <w:sz w:val="24"/>
                  <w:szCs w:val="24"/>
                </w:rPr>
                <w:t xml:space="preserve"> </w:t>
              </w:r>
            </w:p>
            <w:p w:rsidR="00EA3DAF" w:rsidRPr="00EA3DAF" w:rsidRDefault="00EA3DAF" w:rsidP="00EA3DAF">
              <w:pPr>
                <w:spacing w:line="480" w:lineRule="auto"/>
                <w:ind w:left="720" w:hanging="720"/>
                <w:rPr>
                  <w:rFonts w:ascii="Times New Roman" w:hAnsi="Times New Roman" w:cs="Times New Roman"/>
                  <w:sz w:val="24"/>
                  <w:szCs w:val="24"/>
                </w:rPr>
              </w:pPr>
              <w:r w:rsidRPr="00EA3DAF">
                <w:rPr>
                  <w:rFonts w:ascii="Times New Roman" w:hAnsi="Times New Roman" w:cs="Times New Roman"/>
                  <w:sz w:val="24"/>
                  <w:szCs w:val="24"/>
                </w:rPr>
                <w:fldChar w:fldCharType="end"/>
              </w:r>
            </w:p>
          </w:sdtContent>
        </w:sdt>
      </w:sdtContent>
    </w:sdt>
    <w:p w:rsidR="00ED4BD3" w:rsidRPr="00EA3DAF" w:rsidRDefault="00ED4BD3" w:rsidP="00EA3DAF">
      <w:pPr>
        <w:spacing w:line="480" w:lineRule="auto"/>
        <w:ind w:firstLine="720"/>
        <w:rPr>
          <w:rFonts w:ascii="Times New Roman" w:hAnsi="Times New Roman" w:cs="Times New Roman"/>
          <w:sz w:val="24"/>
          <w:szCs w:val="24"/>
        </w:rPr>
      </w:pPr>
    </w:p>
    <w:sectPr w:rsidR="00ED4BD3" w:rsidRPr="00EA3DAF" w:rsidSect="00EA3D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A18" w:rsidRDefault="00053A18" w:rsidP="00EA3DAF">
      <w:pPr>
        <w:spacing w:after="0" w:line="240" w:lineRule="auto"/>
      </w:pPr>
      <w:r>
        <w:separator/>
      </w:r>
    </w:p>
  </w:endnote>
  <w:endnote w:type="continuationSeparator" w:id="1">
    <w:p w:rsidR="00053A18" w:rsidRDefault="00053A18" w:rsidP="00EA3D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A18" w:rsidRDefault="00053A18" w:rsidP="00EA3DAF">
      <w:pPr>
        <w:spacing w:after="0" w:line="240" w:lineRule="auto"/>
      </w:pPr>
      <w:r>
        <w:separator/>
      </w:r>
    </w:p>
  </w:footnote>
  <w:footnote w:type="continuationSeparator" w:id="1">
    <w:p w:rsidR="00053A18" w:rsidRDefault="00053A18" w:rsidP="00EA3D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AF" w:rsidRPr="00EA3DAF" w:rsidRDefault="00EA3DAF">
    <w:pPr>
      <w:pStyle w:val="Header"/>
      <w:jc w:val="right"/>
      <w:rPr>
        <w:rFonts w:ascii="Times New Roman" w:hAnsi="Times New Roman" w:cs="Times New Roman"/>
        <w:sz w:val="24"/>
      </w:rPr>
    </w:pPr>
    <w:r w:rsidRPr="00EA3DAF">
      <w:rPr>
        <w:rFonts w:ascii="Times New Roman" w:hAnsi="Times New Roman" w:cs="Times New Roman"/>
        <w:sz w:val="24"/>
      </w:rPr>
      <w:t>SARBANES-OXLEY ACT</w:t>
    </w:r>
    <w:r w:rsidRPr="00EA3DAF">
      <w:rPr>
        <w:rFonts w:ascii="Times New Roman" w:hAnsi="Times New Roman" w:cs="Times New Roman"/>
        <w:sz w:val="24"/>
      </w:rPr>
      <w:tab/>
    </w:r>
    <w:r w:rsidRPr="00EA3DAF">
      <w:rPr>
        <w:rFonts w:ascii="Times New Roman" w:hAnsi="Times New Roman" w:cs="Times New Roman"/>
        <w:sz w:val="24"/>
      </w:rPr>
      <w:tab/>
    </w:r>
    <w:sdt>
      <w:sdtPr>
        <w:rPr>
          <w:rFonts w:ascii="Times New Roman" w:hAnsi="Times New Roman" w:cs="Times New Roman"/>
          <w:sz w:val="24"/>
        </w:rPr>
        <w:id w:val="24390822"/>
        <w:docPartObj>
          <w:docPartGallery w:val="Page Numbers (Top of Page)"/>
          <w:docPartUnique/>
        </w:docPartObj>
      </w:sdtPr>
      <w:sdtContent>
        <w:r w:rsidRPr="00EA3DAF">
          <w:rPr>
            <w:rFonts w:ascii="Times New Roman" w:hAnsi="Times New Roman" w:cs="Times New Roman"/>
            <w:sz w:val="24"/>
          </w:rPr>
          <w:fldChar w:fldCharType="begin"/>
        </w:r>
        <w:r w:rsidRPr="00EA3DAF">
          <w:rPr>
            <w:rFonts w:ascii="Times New Roman" w:hAnsi="Times New Roman" w:cs="Times New Roman"/>
            <w:sz w:val="24"/>
          </w:rPr>
          <w:instrText xml:space="preserve"> PAGE   \* MERGEFORMAT </w:instrText>
        </w:r>
        <w:r w:rsidRPr="00EA3DAF">
          <w:rPr>
            <w:rFonts w:ascii="Times New Roman" w:hAnsi="Times New Roman" w:cs="Times New Roman"/>
            <w:sz w:val="24"/>
          </w:rPr>
          <w:fldChar w:fldCharType="separate"/>
        </w:r>
        <w:r>
          <w:rPr>
            <w:rFonts w:ascii="Times New Roman" w:hAnsi="Times New Roman" w:cs="Times New Roman"/>
            <w:noProof/>
            <w:sz w:val="24"/>
          </w:rPr>
          <w:t>2</w:t>
        </w:r>
        <w:r w:rsidRPr="00EA3DAF">
          <w:rPr>
            <w:rFonts w:ascii="Times New Roman" w:hAnsi="Times New Roman" w:cs="Times New Roman"/>
            <w:sz w:val="24"/>
          </w:rPr>
          <w:fldChar w:fldCharType="end"/>
        </w:r>
      </w:sdtContent>
    </w:sdt>
  </w:p>
  <w:p w:rsidR="00EA3DAF" w:rsidRPr="00EA3DAF" w:rsidRDefault="00EA3DA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AF" w:rsidRPr="00EA3DAF" w:rsidRDefault="00EA3DAF">
    <w:pPr>
      <w:pStyle w:val="Header"/>
      <w:jc w:val="right"/>
      <w:rPr>
        <w:rFonts w:ascii="Times New Roman" w:hAnsi="Times New Roman" w:cs="Times New Roman"/>
        <w:sz w:val="24"/>
      </w:rPr>
    </w:pPr>
    <w:r w:rsidRPr="00EA3DAF">
      <w:rPr>
        <w:rFonts w:ascii="Times New Roman" w:hAnsi="Times New Roman" w:cs="Times New Roman"/>
        <w:sz w:val="24"/>
      </w:rPr>
      <w:t xml:space="preserve">Running Head: SARBANES-OXLEY ACT </w:t>
    </w:r>
    <w:r>
      <w:rPr>
        <w:rFonts w:ascii="Times New Roman" w:hAnsi="Times New Roman" w:cs="Times New Roman"/>
        <w:sz w:val="24"/>
      </w:rPr>
      <w:tab/>
    </w:r>
    <w:r w:rsidRPr="00EA3DAF">
      <w:rPr>
        <w:rFonts w:ascii="Times New Roman" w:hAnsi="Times New Roman" w:cs="Times New Roman"/>
        <w:sz w:val="24"/>
      </w:rPr>
      <w:tab/>
    </w:r>
    <w:sdt>
      <w:sdtPr>
        <w:rPr>
          <w:rFonts w:ascii="Times New Roman" w:hAnsi="Times New Roman" w:cs="Times New Roman"/>
          <w:sz w:val="24"/>
        </w:rPr>
        <w:id w:val="24390842"/>
        <w:docPartObj>
          <w:docPartGallery w:val="Page Numbers (Top of Page)"/>
          <w:docPartUnique/>
        </w:docPartObj>
      </w:sdtPr>
      <w:sdtContent>
        <w:r w:rsidRPr="00EA3DAF">
          <w:rPr>
            <w:rFonts w:ascii="Times New Roman" w:hAnsi="Times New Roman" w:cs="Times New Roman"/>
            <w:sz w:val="24"/>
          </w:rPr>
          <w:fldChar w:fldCharType="begin"/>
        </w:r>
        <w:r w:rsidRPr="00EA3DAF">
          <w:rPr>
            <w:rFonts w:ascii="Times New Roman" w:hAnsi="Times New Roman" w:cs="Times New Roman"/>
            <w:sz w:val="24"/>
          </w:rPr>
          <w:instrText xml:space="preserve"> PAGE   \* MERGEFORMAT </w:instrText>
        </w:r>
        <w:r w:rsidRPr="00EA3DAF">
          <w:rPr>
            <w:rFonts w:ascii="Times New Roman" w:hAnsi="Times New Roman" w:cs="Times New Roman"/>
            <w:sz w:val="24"/>
          </w:rPr>
          <w:fldChar w:fldCharType="separate"/>
        </w:r>
        <w:r>
          <w:rPr>
            <w:rFonts w:ascii="Times New Roman" w:hAnsi="Times New Roman" w:cs="Times New Roman"/>
            <w:noProof/>
            <w:sz w:val="24"/>
          </w:rPr>
          <w:t>1</w:t>
        </w:r>
        <w:r w:rsidRPr="00EA3DAF">
          <w:rPr>
            <w:rFonts w:ascii="Times New Roman" w:hAnsi="Times New Roman" w:cs="Times New Roman"/>
            <w:sz w:val="24"/>
          </w:rPr>
          <w:fldChar w:fldCharType="end"/>
        </w:r>
      </w:sdtContent>
    </w:sdt>
  </w:p>
  <w:p w:rsidR="00EA3DAF" w:rsidRPr="00EA3DAF" w:rsidRDefault="00EA3DA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77C47"/>
    <w:rsid w:val="00053A18"/>
    <w:rsid w:val="001C051B"/>
    <w:rsid w:val="00277C47"/>
    <w:rsid w:val="009333B6"/>
    <w:rsid w:val="00A86CD0"/>
    <w:rsid w:val="00B63ACD"/>
    <w:rsid w:val="00EA3DAF"/>
    <w:rsid w:val="00ED4B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3DA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3ACD"/>
    <w:rPr>
      <w:color w:val="0000FF"/>
      <w:u w:val="single"/>
    </w:rPr>
  </w:style>
  <w:style w:type="paragraph" w:styleId="BalloonText">
    <w:name w:val="Balloon Text"/>
    <w:basedOn w:val="Normal"/>
    <w:link w:val="BalloonTextChar"/>
    <w:uiPriority w:val="99"/>
    <w:semiHidden/>
    <w:unhideWhenUsed/>
    <w:rsid w:val="00B63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ACD"/>
    <w:rPr>
      <w:rFonts w:ascii="Tahoma" w:hAnsi="Tahoma" w:cs="Tahoma"/>
      <w:sz w:val="16"/>
      <w:szCs w:val="16"/>
    </w:rPr>
  </w:style>
  <w:style w:type="character" w:customStyle="1" w:styleId="Heading1Char">
    <w:name w:val="Heading 1 Char"/>
    <w:basedOn w:val="DefaultParagraphFont"/>
    <w:link w:val="Heading1"/>
    <w:uiPriority w:val="9"/>
    <w:rsid w:val="00EA3DA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A3DAF"/>
  </w:style>
  <w:style w:type="paragraph" w:styleId="Header">
    <w:name w:val="header"/>
    <w:basedOn w:val="Normal"/>
    <w:link w:val="HeaderChar"/>
    <w:uiPriority w:val="99"/>
    <w:unhideWhenUsed/>
    <w:rsid w:val="00EA3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DAF"/>
  </w:style>
  <w:style w:type="paragraph" w:styleId="Footer">
    <w:name w:val="footer"/>
    <w:basedOn w:val="Normal"/>
    <w:link w:val="FooterChar"/>
    <w:uiPriority w:val="99"/>
    <w:semiHidden/>
    <w:unhideWhenUsed/>
    <w:rsid w:val="00EA3D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3D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Sar02</b:Tag>
    <b:SourceType>JournalArticle</b:SourceType>
    <b:Guid>{47837205-8274-4273-B735-DCB9081C75CE}</b:Guid>
    <b:LCID>0</b:LCID>
    <b:Author>
      <b:Author>
        <b:NameList>
          <b:Person>
            <b:Last>Sarbanes-Oxley</b:Last>
            <b:First>A.</b:First>
            <b:Middle>C. T.</b:Middle>
          </b:Person>
        </b:NameList>
      </b:Author>
    </b:Author>
    <b:Title>Sarbanes-Oxley Act. </b:Title>
    <b:JournalName>In Washington, DC: One Hundred and Seventh Congress of the United States of America.</b:JournalName>
    <b:Year>2002</b:Year>
    <b:RefOrder>1</b:RefOrder>
  </b:Source>
  <b:Source>
    <b:Tag>Bra13</b:Tag>
    <b:SourceType>Book</b:SourceType>
    <b:Guid>{43CF63DF-DF7E-4F82-9EC4-F52422F6838D}</b:Guid>
    <b:LCID>0</b:LCID>
    <b:Author>
      <b:Author>
        <b:NameList>
          <b:Person>
            <b:Last>Brandt</b:Last>
            <b:First>Erich</b:First>
          </b:Person>
          <b:Person>
            <b:Last>Ma</b:Last>
            <b:First>Y.</b:First>
          </b:Person>
          <b:Person>
            <b:Last>Pope</b:Last>
            <b:First>N.</b:First>
          </b:Person>
        </b:NameList>
      </b:Author>
    </b:Author>
    <b:Title>The impact of Sarbanes-Oxley on property-casualty insurer loss reserve estimates. </b:Title>
    <b:Year>2013</b:Year>
    <b:City>Illinois</b:City>
    <b:Publisher>Working Paper, Illinois State University</b:Publisher>
    <b:RefOrder>5</b:RefOrder>
  </b:Source>
  <b:Source>
    <b:Tag>Ken19</b:Tag>
    <b:SourceType>InternetSite</b:SourceType>
    <b:Guid>{27AEE36A-D46A-44F0-8A3E-B4ABD868BA9D}</b:Guid>
    <b:LCID>0</b:LCID>
    <b:Author>
      <b:Author>
        <b:NameList>
          <b:Person>
            <b:Last>Kenton</b:Last>
            <b:First>Will</b:First>
          </b:Person>
        </b:NameList>
      </b:Author>
    </b:Author>
    <b:Title>Sarbanes-Oxley (SOX) Act of 2002</b:Title>
    <b:Year>2019</b:Year>
    <b:InternetSiteTitle>Investopedia</b:InternetSiteTitle>
    <b:Month>June</b:Month>
    <b:Day>17</b:Day>
    <b:YearAccessed>2019</b:YearAccessed>
    <b:MonthAccessed>June</b:MonthAccessed>
    <b:DayAccessed>18</b:DayAccessed>
    <b:URL>https://www.investopedia.com/terms/s/sarbanesoxleyact.asp</b:URL>
    <b:RefOrder>4</b:RefOrder>
  </b:Source>
  <b:Source>
    <b:Tag>DeF11</b:Tag>
    <b:SourceType>JournalArticle</b:SourceType>
    <b:Guid>{0AD70D18-BEC0-45CB-B4CD-6A0FA60C255D}</b:Guid>
    <b:LCID>0</b:LCID>
    <b:Author>
      <b:Author>
        <b:NameList>
          <b:Person>
            <b:Last>DeFond</b:Last>
            <b:First>Mark</b:First>
            <b:Middle>L.</b:Middle>
          </b:Person>
          <b:Person>
            <b:Last>Hung</b:Last>
            <b:First>Mingyi</b:First>
          </b:Person>
          <b:Person>
            <b:Last>Carr</b:Last>
            <b:First>Emre</b:First>
          </b:Person>
          <b:Person>
            <b:Last>Zhang</b:Last>
            <b:First>Jieying</b:First>
          </b:Person>
        </b:NameList>
      </b:Author>
    </b:Author>
    <b:Title>Was the Sarbanes-Oxley Act good news for corporate bondholders?</b:Title>
    <b:Year>2011</b:Year>
    <b:JournalName>Accounting Horizons</b:JournalName>
    <b:Pages>465-485</b:Pages>
    <b:RefOrder>2</b:RefOrder>
  </b:Source>
  <b:Source>
    <b:Tag>Hos13</b:Tag>
    <b:SourceType>JournalArticle</b:SourceType>
    <b:Guid>{B22CC7D4-D2B0-4F02-A775-1B4F8030C2A2}</b:Guid>
    <b:LCID>0</b:LCID>
    <b:Author>
      <b:Author>
        <b:NameList>
          <b:Person>
            <b:Last>Hostak</b:Last>
            <b:First>Peter</b:First>
          </b:Person>
          <b:Person>
            <b:Last>Lys</b:Last>
            <b:First>Thomas</b:First>
          </b:Person>
          <b:Person>
            <b:Last>Yang</b:Last>
            <b:First>Yong</b:First>
            <b:Middle>George</b:Middle>
          </b:Person>
          <b:Person>
            <b:Last>Carr</b:Last>
            <b:First>Emre</b:First>
          </b:Person>
        </b:NameList>
      </b:Author>
    </b:Author>
    <b:Title>An examination of the impact of the Sarbanes–Oxley Act on the attractiveness of US capital markets for foreign firms.</b:Title>
    <b:JournalName>Review of Accounting Studies</b:JournalName>
    <b:Year>2013</b:Year>
    <b:Pages>522-559</b:Pages>
    <b:Volume>18</b:Volume>
    <b:Issue>2</b:Issue>
    <b:RefOrder>3</b:RefOrder>
  </b:Source>
</b:Sources>
</file>

<file path=customXml/itemProps1.xml><?xml version="1.0" encoding="utf-8"?>
<ds:datastoreItem xmlns:ds="http://schemas.openxmlformats.org/officeDocument/2006/customXml" ds:itemID="{3759CB31-9ABC-47F8-92A3-533F69F1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2019-06-18T19:53:00Z</dcterms:created>
  <dcterms:modified xsi:type="dcterms:W3CDTF">2019-06-18T22:14:00Z</dcterms:modified>
</cp:coreProperties>
</file>